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F7" w:rsidRDefault="00445DF7">
      <w:pPr>
        <w:jc w:val="center"/>
        <w:rPr>
          <w:b/>
          <w:bCs/>
          <w:sz w:val="28"/>
          <w:szCs w:val="28"/>
        </w:rPr>
      </w:pPr>
    </w:p>
    <w:p w:rsidR="00C729C7" w:rsidRDefault="00007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Ordine del giorno presentato all’Assemblea Organizzativa SPI-CGIL Toscana</w:t>
      </w:r>
    </w:p>
    <w:p w:rsidR="00C729C7" w:rsidRDefault="0000759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tenuta</w:t>
      </w:r>
      <w:proofErr w:type="gramEnd"/>
      <w:r>
        <w:rPr>
          <w:b/>
          <w:bCs/>
          <w:sz w:val="28"/>
          <w:szCs w:val="28"/>
        </w:rPr>
        <w:t xml:space="preserve"> a Pisa il giorno 11 Novembre 2021</w:t>
      </w:r>
    </w:p>
    <w:p w:rsidR="00C729C7" w:rsidRDefault="00C729C7">
      <w:pPr>
        <w:jc w:val="center"/>
        <w:rPr>
          <w:b/>
          <w:bCs/>
          <w:sz w:val="28"/>
          <w:szCs w:val="28"/>
        </w:rPr>
      </w:pPr>
    </w:p>
    <w:p w:rsidR="00C729C7" w:rsidRDefault="00C729C7">
      <w:pPr>
        <w:jc w:val="center"/>
        <w:rPr>
          <w:b/>
          <w:bCs/>
          <w:sz w:val="28"/>
          <w:szCs w:val="28"/>
        </w:rPr>
      </w:pPr>
    </w:p>
    <w:p w:rsidR="00C729C7" w:rsidRDefault="00EC1C25">
      <w:pPr>
        <w:jc w:val="both"/>
      </w:pPr>
      <w:r>
        <w:rPr>
          <w:sz w:val="28"/>
          <w:szCs w:val="28"/>
        </w:rPr>
        <w:t xml:space="preserve">L’assemblea organizzativa dello SPI-CGIL della Toscana assume gli Ordini del Giorno delle Assemblee Territoriali e da questi determina le priorità da consegnare ai livelli superiori confederali e di categoria come indicato nel presente </w:t>
      </w:r>
      <w:proofErr w:type="spellStart"/>
      <w:r>
        <w:rPr>
          <w:sz w:val="28"/>
          <w:szCs w:val="28"/>
        </w:rPr>
        <w:t>O.d.G.</w:t>
      </w:r>
      <w:proofErr w:type="spellEnd"/>
      <w:r>
        <w:rPr>
          <w:sz w:val="28"/>
          <w:szCs w:val="28"/>
        </w:rPr>
        <w:t xml:space="preserve"> Per queste ragioni, c</w:t>
      </w:r>
      <w:r w:rsidR="0000759E">
        <w:rPr>
          <w:sz w:val="28"/>
          <w:szCs w:val="28"/>
        </w:rPr>
        <w:t xml:space="preserve">onsiderato il documento presentato, si ritiene utile rimarcare alcuni punti su cui invitiamo le istanze superiori, </w:t>
      </w:r>
      <w:r w:rsidR="000E4599">
        <w:rPr>
          <w:sz w:val="28"/>
          <w:szCs w:val="28"/>
        </w:rPr>
        <w:t>soprattutto</w:t>
      </w:r>
      <w:r w:rsidR="0000759E">
        <w:rPr>
          <w:sz w:val="28"/>
          <w:szCs w:val="28"/>
        </w:rPr>
        <w:t xml:space="preserve"> l’Assemblea Organizzativa della CGIL nazionale a trovare le possibili soluzioni organizzative. L’assemblea, assumendo </w:t>
      </w:r>
      <w:r>
        <w:rPr>
          <w:sz w:val="28"/>
          <w:szCs w:val="28"/>
        </w:rPr>
        <w:t xml:space="preserve">come detto </w:t>
      </w:r>
      <w:r w:rsidR="0000759E">
        <w:rPr>
          <w:sz w:val="28"/>
          <w:szCs w:val="28"/>
        </w:rPr>
        <w:t xml:space="preserve">i documenti e gli </w:t>
      </w:r>
      <w:proofErr w:type="spellStart"/>
      <w:r w:rsidR="0000759E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00759E">
        <w:rPr>
          <w:sz w:val="28"/>
          <w:szCs w:val="28"/>
        </w:rPr>
        <w:t>d</w:t>
      </w:r>
      <w:r>
        <w:rPr>
          <w:sz w:val="28"/>
          <w:szCs w:val="28"/>
        </w:rPr>
        <w:t>.</w:t>
      </w:r>
      <w:r w:rsidR="0000759E">
        <w:rPr>
          <w:sz w:val="28"/>
          <w:szCs w:val="28"/>
        </w:rPr>
        <w:t>G</w:t>
      </w:r>
      <w:r>
        <w:rPr>
          <w:sz w:val="28"/>
          <w:szCs w:val="28"/>
        </w:rPr>
        <w:t>.</w:t>
      </w:r>
      <w:proofErr w:type="spellEnd"/>
      <w:r w:rsidR="0000759E">
        <w:rPr>
          <w:sz w:val="28"/>
          <w:szCs w:val="28"/>
        </w:rPr>
        <w:t xml:space="preserve"> approvati nelle </w:t>
      </w:r>
      <w:r w:rsidR="008E3DAC">
        <w:rPr>
          <w:sz w:val="28"/>
          <w:szCs w:val="28"/>
        </w:rPr>
        <w:t xml:space="preserve">dieci </w:t>
      </w:r>
      <w:r w:rsidR="0000759E">
        <w:rPr>
          <w:sz w:val="28"/>
          <w:szCs w:val="28"/>
        </w:rPr>
        <w:t xml:space="preserve">assemblee territoriali e rimarcando la necessità di una nuova centralità del territorio </w:t>
      </w:r>
      <w:r>
        <w:rPr>
          <w:sz w:val="28"/>
          <w:szCs w:val="28"/>
        </w:rPr>
        <w:t xml:space="preserve">e del carattere confederale della nostra identità politica e organizzativa, </w:t>
      </w:r>
      <w:r w:rsidR="0000759E">
        <w:rPr>
          <w:sz w:val="28"/>
          <w:szCs w:val="28"/>
        </w:rPr>
        <w:t>sottolinea i seguenti punti:</w:t>
      </w:r>
    </w:p>
    <w:p w:rsidR="00C729C7" w:rsidRDefault="00C729C7">
      <w:pPr>
        <w:jc w:val="both"/>
        <w:rPr>
          <w:sz w:val="28"/>
          <w:szCs w:val="28"/>
        </w:rPr>
      </w:pPr>
    </w:p>
    <w:p w:rsidR="00C729C7" w:rsidRDefault="0000759E">
      <w:pPr>
        <w:jc w:val="both"/>
        <w:rPr>
          <w:sz w:val="28"/>
          <w:szCs w:val="28"/>
        </w:rPr>
      </w:pPr>
      <w:r>
        <w:rPr>
          <w:sz w:val="28"/>
          <w:szCs w:val="28"/>
        </w:rPr>
        <w:t>1) Sostegno e risposte alle necessità delle persone anziane, mettendo in campo progetti di riqualificazione e valorizzazione della nostra azione capillare implementando l’utilizzo delle tecnologie digitali;</w:t>
      </w:r>
    </w:p>
    <w:p w:rsidR="00C729C7" w:rsidRDefault="00C729C7">
      <w:pPr>
        <w:jc w:val="both"/>
        <w:rPr>
          <w:sz w:val="28"/>
          <w:szCs w:val="28"/>
        </w:rPr>
      </w:pPr>
    </w:p>
    <w:p w:rsidR="00C729C7" w:rsidRDefault="0000759E" w:rsidP="003868EF">
      <w:pPr>
        <w:jc w:val="both"/>
        <w:rPr>
          <w:sz w:val="28"/>
          <w:szCs w:val="28"/>
        </w:rPr>
      </w:pPr>
      <w:r>
        <w:rPr>
          <w:sz w:val="28"/>
          <w:szCs w:val="28"/>
        </w:rPr>
        <w:t>2) Aumentare il decentramento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e l’allargamento della presenza diffusa nel territorio di Confederazione e Categorie attivi e costruzione di un modello organizzativo coerente con gli obiettivi di Confederalità e prossimità e in grado di svolgere una concreta azione sindacale e rivendicativa a partire dalla contrattazione sociale territoriale e rilanciando il ruolo di interlocuzione sociale della nostra organizzazione nelle comunità locali;</w:t>
      </w:r>
      <w:r w:rsidR="00EC1C25">
        <w:rPr>
          <w:sz w:val="28"/>
          <w:szCs w:val="28"/>
        </w:rPr>
        <w:t xml:space="preserve"> a questo scopo si rit</w:t>
      </w:r>
      <w:r w:rsidR="0054416D">
        <w:rPr>
          <w:sz w:val="28"/>
          <w:szCs w:val="28"/>
        </w:rPr>
        <w:t xml:space="preserve">iene </w:t>
      </w:r>
      <w:r w:rsidR="008E3DAC">
        <w:rPr>
          <w:sz w:val="28"/>
          <w:szCs w:val="28"/>
        </w:rPr>
        <w:t xml:space="preserve">utile che i processi di aggregazione </w:t>
      </w:r>
      <w:r w:rsidR="00EC1C25">
        <w:rPr>
          <w:sz w:val="28"/>
          <w:szCs w:val="28"/>
        </w:rPr>
        <w:t xml:space="preserve">delle categorie </w:t>
      </w:r>
      <w:r w:rsidR="0054416D">
        <w:rPr>
          <w:sz w:val="28"/>
          <w:szCs w:val="28"/>
        </w:rPr>
        <w:t>corrispond</w:t>
      </w:r>
      <w:r w:rsidR="008E3DAC">
        <w:rPr>
          <w:sz w:val="28"/>
          <w:szCs w:val="28"/>
        </w:rPr>
        <w:t xml:space="preserve">ano alla direzione </w:t>
      </w:r>
      <w:r w:rsidR="009F0298">
        <w:rPr>
          <w:sz w:val="28"/>
          <w:szCs w:val="28"/>
        </w:rPr>
        <w:t>confederale</w:t>
      </w:r>
      <w:r w:rsidR="008E3DAC">
        <w:rPr>
          <w:sz w:val="28"/>
          <w:szCs w:val="28"/>
        </w:rPr>
        <w:t xml:space="preserve">, consolidando </w:t>
      </w:r>
      <w:r w:rsidR="0054416D">
        <w:rPr>
          <w:sz w:val="28"/>
          <w:szCs w:val="28"/>
        </w:rPr>
        <w:t>il ruolo dell</w:t>
      </w:r>
      <w:r w:rsidR="008E3DAC">
        <w:rPr>
          <w:sz w:val="28"/>
          <w:szCs w:val="28"/>
        </w:rPr>
        <w:t>e</w:t>
      </w:r>
      <w:r w:rsidR="0054416D">
        <w:rPr>
          <w:sz w:val="28"/>
          <w:szCs w:val="28"/>
        </w:rPr>
        <w:t xml:space="preserve"> C</w:t>
      </w:r>
      <w:r w:rsidR="008E3DAC">
        <w:rPr>
          <w:sz w:val="28"/>
          <w:szCs w:val="28"/>
        </w:rPr>
        <w:t xml:space="preserve">amere del </w:t>
      </w:r>
      <w:r w:rsidR="003868EF">
        <w:rPr>
          <w:sz w:val="28"/>
          <w:szCs w:val="28"/>
        </w:rPr>
        <w:t>Lavoro Territoria</w:t>
      </w:r>
      <w:r w:rsidR="008E3DAC">
        <w:rPr>
          <w:sz w:val="28"/>
          <w:szCs w:val="28"/>
        </w:rPr>
        <w:t>li/Metropolitane;</w:t>
      </w:r>
    </w:p>
    <w:p w:rsidR="008E3DAC" w:rsidRDefault="008E3DAC">
      <w:pPr>
        <w:jc w:val="both"/>
        <w:rPr>
          <w:sz w:val="28"/>
          <w:szCs w:val="28"/>
        </w:rPr>
      </w:pPr>
    </w:p>
    <w:p w:rsidR="00C729C7" w:rsidRDefault="0000759E">
      <w:pPr>
        <w:jc w:val="both"/>
        <w:rPr>
          <w:sz w:val="28"/>
          <w:szCs w:val="28"/>
        </w:rPr>
      </w:pPr>
      <w:r>
        <w:rPr>
          <w:sz w:val="28"/>
          <w:szCs w:val="28"/>
        </w:rPr>
        <w:t>3) La CGIL deve promuovere azioni condivise per il potenziamento, qualificazione e diffusione capillare della nostra rete di servizi a partire da INCA e CAAF, con uso di risorse finalizzate e con pieno utilizzo dei mezzi informatici e digi</w:t>
      </w:r>
      <w:r w:rsidR="000E4599">
        <w:rPr>
          <w:sz w:val="28"/>
          <w:szCs w:val="28"/>
        </w:rPr>
        <w:t>tali</w:t>
      </w:r>
      <w:r w:rsidR="008E3DAC">
        <w:rPr>
          <w:sz w:val="28"/>
          <w:szCs w:val="28"/>
        </w:rPr>
        <w:t>. Il dialogo fra le diverse piattaforme è elemento essenziale per una effetti</w:t>
      </w:r>
      <w:r w:rsidR="000E4599">
        <w:rPr>
          <w:sz w:val="28"/>
          <w:szCs w:val="28"/>
        </w:rPr>
        <w:t>va presa in</w:t>
      </w:r>
      <w:r>
        <w:rPr>
          <w:sz w:val="28"/>
          <w:szCs w:val="28"/>
        </w:rPr>
        <w:t xml:space="preserve"> carico degli iscritti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Lo SPI Toscana continuerà e rafforzerà il percorso formativo già avviato sull’alfabetizzazione digitale;</w:t>
      </w:r>
    </w:p>
    <w:p w:rsidR="00C729C7" w:rsidRDefault="00C729C7">
      <w:pPr>
        <w:jc w:val="both"/>
        <w:rPr>
          <w:sz w:val="28"/>
          <w:szCs w:val="28"/>
        </w:rPr>
      </w:pPr>
    </w:p>
    <w:p w:rsidR="00C729C7" w:rsidRDefault="0000759E">
      <w:pPr>
        <w:jc w:val="both"/>
        <w:rPr>
          <w:sz w:val="28"/>
          <w:szCs w:val="28"/>
        </w:rPr>
      </w:pPr>
      <w:r>
        <w:rPr>
          <w:sz w:val="28"/>
          <w:szCs w:val="28"/>
        </w:rPr>
        <w:t>4) Il proselitismo deve essere inteso come impegno colle</w:t>
      </w:r>
      <w:r w:rsidR="008E3DAC">
        <w:rPr>
          <w:sz w:val="28"/>
          <w:szCs w:val="28"/>
        </w:rPr>
        <w:t>ttivo dei dirigenti,</w:t>
      </w:r>
      <w:r>
        <w:rPr>
          <w:sz w:val="28"/>
          <w:szCs w:val="28"/>
        </w:rPr>
        <w:t xml:space="preserve"> attivisti sindacali </w:t>
      </w:r>
      <w:r w:rsidR="008E3DAC">
        <w:rPr>
          <w:sz w:val="28"/>
          <w:szCs w:val="28"/>
        </w:rPr>
        <w:t xml:space="preserve">e operatori e operatrici della tutela individuale </w:t>
      </w:r>
      <w:r>
        <w:rPr>
          <w:sz w:val="28"/>
          <w:szCs w:val="28"/>
        </w:rPr>
        <w:t>ad ogni livello</w:t>
      </w:r>
      <w:r w:rsidR="008E3DAC">
        <w:rPr>
          <w:sz w:val="28"/>
          <w:szCs w:val="28"/>
        </w:rPr>
        <w:t>,</w:t>
      </w:r>
      <w:r>
        <w:rPr>
          <w:sz w:val="28"/>
          <w:szCs w:val="28"/>
        </w:rPr>
        <w:t xml:space="preserve"> con l’impegno concreto di tutte le categorie sulla continuità d’iscrizione attivando, nel merito, anche specifici percorsi formativi Confederali;</w:t>
      </w:r>
    </w:p>
    <w:p w:rsidR="009F0298" w:rsidRDefault="009F0298" w:rsidP="009F0298">
      <w:pPr>
        <w:rPr>
          <w:sz w:val="28"/>
          <w:szCs w:val="28"/>
        </w:rPr>
      </w:pPr>
    </w:p>
    <w:p w:rsidR="003868EF" w:rsidRDefault="009F0298" w:rsidP="003868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54416D">
        <w:rPr>
          <w:sz w:val="28"/>
          <w:szCs w:val="28"/>
        </w:rPr>
        <w:t>Se da una parte è assolutamente condivisibile l’obbiettivo di coinvolgere delegati di base e rappresent</w:t>
      </w:r>
      <w:r w:rsidR="008E79DC">
        <w:rPr>
          <w:sz w:val="28"/>
          <w:szCs w:val="28"/>
        </w:rPr>
        <w:t>ant</w:t>
      </w:r>
      <w:r w:rsidRPr="0054416D">
        <w:rPr>
          <w:sz w:val="28"/>
          <w:szCs w:val="28"/>
        </w:rPr>
        <w:t>i delle leghe alla partecipazione negli organismi di direzione dell’organizzazione occorre valutare come il modello duale del direttivo e assemblea abbiano corrisposto efficacemente a questo obbiettivo. Quanto piuttosto abbiano prodotto un appesantimento nella vita dell’organizzazione che non ha migliorato in maniera sostanziale la partecipazione delle delegate/i delle RSU e delle leghe.</w:t>
      </w:r>
    </w:p>
    <w:p w:rsidR="009F0298" w:rsidRPr="0054416D" w:rsidRDefault="009F0298" w:rsidP="003868EF">
      <w:pPr>
        <w:jc w:val="both"/>
        <w:rPr>
          <w:sz w:val="28"/>
          <w:szCs w:val="28"/>
        </w:rPr>
      </w:pPr>
      <w:r w:rsidRPr="0054416D">
        <w:rPr>
          <w:sz w:val="28"/>
          <w:szCs w:val="28"/>
        </w:rPr>
        <w:t xml:space="preserve">Va quindi definita una modalità </w:t>
      </w:r>
      <w:proofErr w:type="spellStart"/>
      <w:r w:rsidRPr="0054416D">
        <w:rPr>
          <w:sz w:val="28"/>
          <w:szCs w:val="28"/>
        </w:rPr>
        <w:t>piu</w:t>
      </w:r>
      <w:proofErr w:type="spellEnd"/>
      <w:r w:rsidRPr="0054416D">
        <w:rPr>
          <w:sz w:val="28"/>
          <w:szCs w:val="28"/>
        </w:rPr>
        <w:t xml:space="preserve"> efficace rispetto a quanto sperimentato con l’ultima conferenza organizzativa</w:t>
      </w:r>
      <w:r>
        <w:rPr>
          <w:sz w:val="28"/>
          <w:szCs w:val="28"/>
        </w:rPr>
        <w:t>;</w:t>
      </w:r>
    </w:p>
    <w:p w:rsidR="00C729C7" w:rsidRDefault="00C729C7">
      <w:pPr>
        <w:jc w:val="both"/>
        <w:rPr>
          <w:sz w:val="28"/>
          <w:szCs w:val="28"/>
        </w:rPr>
      </w:pPr>
    </w:p>
    <w:p w:rsidR="00C729C7" w:rsidRDefault="009F029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59E">
        <w:rPr>
          <w:sz w:val="28"/>
          <w:szCs w:val="28"/>
        </w:rPr>
        <w:t xml:space="preserve">) In coerenza con le </w:t>
      </w:r>
      <w:r w:rsidR="0054416D">
        <w:rPr>
          <w:sz w:val="28"/>
          <w:szCs w:val="28"/>
        </w:rPr>
        <w:t>propo</w:t>
      </w:r>
      <w:r w:rsidR="0000759E">
        <w:rPr>
          <w:sz w:val="28"/>
          <w:szCs w:val="28"/>
        </w:rPr>
        <w:t xml:space="preserve">ste avanzate alla CGIL, </w:t>
      </w:r>
      <w:r w:rsidR="0054416D">
        <w:rPr>
          <w:sz w:val="28"/>
          <w:szCs w:val="28"/>
        </w:rPr>
        <w:t>l</w:t>
      </w:r>
      <w:r w:rsidR="0000759E">
        <w:rPr>
          <w:sz w:val="28"/>
          <w:szCs w:val="28"/>
        </w:rPr>
        <w:t>’assemblea organizzativa dello SPI Toscana stabilisce che la direzione politica del livello regionale si concentri sulle attività dove esistono precise titolarità contrattuali e si decentri sui territori per alcuni importanti temi di ordine politico sindacale. L’assemblea condivide e sostiene l’azione dei territori per trasferire le responsabilità giuridiche e tecnico-amministrative, dalle leghe alle strutture provinciali, liberando le leghe dalle incombenze amministrative e i segretari di lega dalle responsabilità giuridiche di cui adesso sono gravati</w:t>
      </w:r>
      <w:r>
        <w:rPr>
          <w:sz w:val="28"/>
          <w:szCs w:val="28"/>
        </w:rPr>
        <w:t xml:space="preserve"> in riferimento al </w:t>
      </w:r>
      <w:proofErr w:type="spellStart"/>
      <w:r>
        <w:rPr>
          <w:sz w:val="28"/>
          <w:szCs w:val="28"/>
        </w:rPr>
        <w:t>D.lgs</w:t>
      </w:r>
      <w:proofErr w:type="spellEnd"/>
      <w:r>
        <w:rPr>
          <w:sz w:val="28"/>
          <w:szCs w:val="28"/>
        </w:rPr>
        <w:t xml:space="preserve"> 460/97.</w:t>
      </w:r>
    </w:p>
    <w:p w:rsidR="0054416D" w:rsidRDefault="0054416D">
      <w:pPr>
        <w:jc w:val="both"/>
        <w:rPr>
          <w:sz w:val="28"/>
          <w:szCs w:val="28"/>
        </w:rPr>
      </w:pPr>
    </w:p>
    <w:p w:rsidR="0054416D" w:rsidRDefault="00723A50" w:rsidP="0054416D">
      <w:pPr>
        <w:pStyle w:val="NormaleWeb"/>
      </w:pPr>
      <w:r>
        <w:t>APPROVATO</w:t>
      </w:r>
    </w:p>
    <w:p w:rsidR="0054416D" w:rsidRPr="00EC1C25" w:rsidRDefault="0054416D">
      <w:pPr>
        <w:jc w:val="both"/>
        <w:rPr>
          <w:sz w:val="28"/>
          <w:szCs w:val="28"/>
        </w:rPr>
      </w:pPr>
    </w:p>
    <w:p w:rsidR="00C729C7" w:rsidRDefault="0000759E" w:rsidP="00EC1C25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C729C7" w:rsidRDefault="00C729C7">
      <w:pPr>
        <w:jc w:val="both"/>
        <w:rPr>
          <w:b/>
          <w:bCs/>
        </w:rPr>
      </w:pPr>
    </w:p>
    <w:sectPr w:rsidR="00C72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6" w:right="748" w:bottom="1134" w:left="902" w:header="357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08" w:rsidRDefault="0000759E">
      <w:r>
        <w:separator/>
      </w:r>
    </w:p>
  </w:endnote>
  <w:endnote w:type="continuationSeparator" w:id="0">
    <w:p w:rsidR="00955C08" w:rsidRDefault="0000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Tunga">
    <w:altName w:val="Courier New"/>
    <w:panose1 w:val="00000400000000000000"/>
    <w:charset w:val="01"/>
    <w:family w:val="roman"/>
    <w:notTrueType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50" w:rsidRDefault="00723A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7" w:rsidRDefault="0000759E">
    <w:pPr>
      <w:pStyle w:val="Pidipagina"/>
      <w:tabs>
        <w:tab w:val="clear" w:pos="4819"/>
        <w:tab w:val="clear" w:pos="9638"/>
      </w:tabs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noProof/>
        <w:sz w:val="22"/>
        <w:szCs w:val="22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6520815" cy="19050"/>
              <wp:effectExtent l="9525" t="6985" r="9525" b="8255"/>
              <wp:wrapNone/>
              <wp:docPr id="4" name="Li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512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0.35pt" to="513.35pt,1.5pt" ID="Line 13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  <w:p w:rsidR="00C729C7" w:rsidRDefault="0000759E">
    <w:pPr>
      <w:pStyle w:val="Pidipagina"/>
      <w:tabs>
        <w:tab w:val="clear" w:pos="4819"/>
        <w:tab w:val="clear" w:pos="9638"/>
      </w:tabs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sz w:val="22"/>
        <w:szCs w:val="22"/>
      </w:rPr>
      <w:t>Sindacato Pensionati Italiani - CGIL</w:t>
    </w:r>
  </w:p>
  <w:p w:rsidR="00C729C7" w:rsidRDefault="0000759E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>50132 FIRENZE - Via Pier Capponi, 7 - Tel. 055.5036226 - Fax 055.5036300</w:t>
    </w:r>
  </w:p>
  <w:p w:rsidR="00C729C7" w:rsidRDefault="0000759E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 xml:space="preserve">E-mail: </w:t>
    </w:r>
    <w:hyperlink r:id="rId1">
      <w:r>
        <w:rPr>
          <w:rStyle w:val="CollegamentoInternet"/>
          <w:rFonts w:ascii="Tw Cen MT" w:hAnsi="Tw Cen MT" w:cs="Vrinda"/>
          <w:color w:val="auto"/>
          <w:sz w:val="18"/>
          <w:szCs w:val="18"/>
          <w:u w:val="none"/>
        </w:rPr>
        <w:t>spi.toscana@tosc.cgil.it</w:t>
      </w:r>
    </w:hyperlink>
    <w:r>
      <w:rPr>
        <w:rFonts w:ascii="Tw Cen MT" w:hAnsi="Tw Cen MT" w:cs="Vrinda"/>
        <w:b/>
        <w:bCs/>
        <w:sz w:val="18"/>
        <w:szCs w:val="18"/>
      </w:rPr>
      <w:t xml:space="preserve"> - </w:t>
    </w:r>
    <w:r>
      <w:rPr>
        <w:rFonts w:ascii="Tw Cen MT" w:hAnsi="Tw Cen MT" w:cs="Vrinda"/>
        <w:bCs/>
        <w:sz w:val="18"/>
        <w:szCs w:val="18"/>
      </w:rPr>
      <w:t>www.toscanaspi.it</w:t>
    </w:r>
  </w:p>
  <w:p w:rsidR="00C729C7" w:rsidRDefault="0000759E">
    <w:pPr>
      <w:jc w:val="center"/>
      <w:rPr>
        <w:rFonts w:ascii="Tw Cen MT" w:hAnsi="Tw Cen MT" w:cs="Vrinda"/>
        <w:sz w:val="20"/>
        <w:szCs w:val="20"/>
      </w:rPr>
    </w:pPr>
    <w:r>
      <w:rPr>
        <w:rFonts w:ascii="Tw Cen MT" w:hAnsi="Tw Cen MT" w:cs="Vrinda"/>
        <w:sz w:val="20"/>
        <w:szCs w:val="20"/>
      </w:rPr>
      <w:t xml:space="preserve">Cod. </w:t>
    </w:r>
    <w:proofErr w:type="spellStart"/>
    <w:r>
      <w:rPr>
        <w:rFonts w:ascii="Tw Cen MT" w:hAnsi="Tw Cen MT" w:cs="Vrinda"/>
        <w:sz w:val="20"/>
        <w:szCs w:val="20"/>
      </w:rPr>
      <w:t>Fisc</w:t>
    </w:r>
    <w:proofErr w:type="spellEnd"/>
    <w:r>
      <w:rPr>
        <w:rFonts w:ascii="Tw Cen MT" w:hAnsi="Tw Cen MT" w:cs="Vrinda"/>
        <w:sz w:val="20"/>
        <w:szCs w:val="20"/>
      </w:rPr>
      <w:t>. 94058790489</w:t>
    </w:r>
  </w:p>
  <w:p w:rsidR="00C729C7" w:rsidRDefault="00C729C7">
    <w:pPr>
      <w:jc w:val="center"/>
      <w:rPr>
        <w:rFonts w:ascii="Tunga" w:hAnsi="Tunga" w:cs="Tunga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7" w:rsidRDefault="0000759E">
    <w:pPr>
      <w:pStyle w:val="Pidipagina"/>
      <w:tabs>
        <w:tab w:val="clear" w:pos="4819"/>
        <w:tab w:val="clear" w:pos="9638"/>
      </w:tabs>
      <w:jc w:val="center"/>
      <w:rPr>
        <w:rFonts w:ascii="Lucida Sans Unicode" w:hAnsi="Lucida Sans Unicode"/>
        <w:sz w:val="16"/>
        <w:szCs w:val="16"/>
      </w:rPr>
    </w:pPr>
    <w:r>
      <w:rPr>
        <w:rFonts w:ascii="Lucida Sans Unicode" w:hAnsi="Lucida Sans Unicode"/>
        <w:noProof/>
        <w:sz w:val="16"/>
        <w:szCs w:val="16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39370</wp:posOffset>
              </wp:positionV>
              <wp:extent cx="6520815" cy="19050"/>
              <wp:effectExtent l="9525" t="5715" r="9525" b="9525"/>
              <wp:wrapNone/>
              <wp:docPr id="5" name="Lin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476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1pt" to="513.35pt,4.2pt" ID="Line 10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  <w:p w:rsidR="00C729C7" w:rsidRDefault="0000759E">
    <w:pPr>
      <w:pStyle w:val="Pidipagina"/>
      <w:tabs>
        <w:tab w:val="clear" w:pos="4819"/>
        <w:tab w:val="clear" w:pos="9638"/>
      </w:tabs>
      <w:jc w:val="center"/>
      <w:rPr>
        <w:rFonts w:ascii="Tw Cen MT" w:hAnsi="Tw Cen MT" w:cs="Vrinda"/>
        <w:sz w:val="22"/>
        <w:szCs w:val="22"/>
      </w:rPr>
    </w:pPr>
    <w:r>
      <w:rPr>
        <w:rFonts w:ascii="Tw Cen MT" w:hAnsi="Tw Cen MT" w:cs="Vrinda"/>
        <w:sz w:val="22"/>
        <w:szCs w:val="22"/>
      </w:rPr>
      <w:t>Sindacato Pensionati Italiani - CGIL</w:t>
    </w:r>
  </w:p>
  <w:p w:rsidR="00C729C7" w:rsidRDefault="0000759E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>50132 FIRENZE - Via Pier Capponi, 7 - Tel. 055.5036226 - Fax 055.5036300</w:t>
    </w:r>
  </w:p>
  <w:p w:rsidR="00C729C7" w:rsidRDefault="0000759E">
    <w:pPr>
      <w:jc w:val="center"/>
      <w:rPr>
        <w:rFonts w:ascii="Tw Cen MT" w:hAnsi="Tw Cen MT" w:cs="Vrinda"/>
        <w:sz w:val="18"/>
        <w:szCs w:val="18"/>
      </w:rPr>
    </w:pPr>
    <w:r>
      <w:rPr>
        <w:rFonts w:ascii="Tw Cen MT" w:hAnsi="Tw Cen MT" w:cs="Vrinda"/>
        <w:sz w:val="18"/>
        <w:szCs w:val="18"/>
      </w:rPr>
      <w:t xml:space="preserve">E-mail: </w:t>
    </w:r>
    <w:hyperlink r:id="rId1">
      <w:r>
        <w:rPr>
          <w:rStyle w:val="CollegamentoInternet"/>
          <w:rFonts w:ascii="Tw Cen MT" w:hAnsi="Tw Cen MT" w:cs="Vrinda"/>
          <w:color w:val="auto"/>
          <w:sz w:val="18"/>
          <w:szCs w:val="18"/>
          <w:u w:val="none"/>
        </w:rPr>
        <w:t>spi.toscana@tosc.cgil.it</w:t>
      </w:r>
    </w:hyperlink>
    <w:r>
      <w:rPr>
        <w:rFonts w:ascii="Tw Cen MT" w:hAnsi="Tw Cen MT" w:cs="Vrinda"/>
        <w:b/>
        <w:bCs/>
        <w:sz w:val="18"/>
        <w:szCs w:val="18"/>
      </w:rPr>
      <w:t xml:space="preserve"> - </w:t>
    </w:r>
    <w:r>
      <w:rPr>
        <w:rFonts w:ascii="Tw Cen MT" w:hAnsi="Tw Cen MT" w:cs="Vrinda"/>
        <w:bCs/>
        <w:sz w:val="18"/>
        <w:szCs w:val="18"/>
      </w:rPr>
      <w:t>www.spicgiltoscana.it</w:t>
    </w:r>
  </w:p>
  <w:p w:rsidR="00C729C7" w:rsidRDefault="0000759E">
    <w:pPr>
      <w:jc w:val="center"/>
      <w:rPr>
        <w:rFonts w:ascii="Tunga" w:hAnsi="Tunga" w:cs="Tunga"/>
        <w:sz w:val="20"/>
        <w:szCs w:val="20"/>
      </w:rPr>
    </w:pPr>
    <w:r>
      <w:rPr>
        <w:rFonts w:ascii="Tw Cen MT" w:hAnsi="Tw Cen MT" w:cs="Vrinda"/>
        <w:sz w:val="20"/>
        <w:szCs w:val="20"/>
      </w:rPr>
      <w:t xml:space="preserve">Cod. </w:t>
    </w:r>
    <w:proofErr w:type="spellStart"/>
    <w:r>
      <w:rPr>
        <w:rFonts w:ascii="Tw Cen MT" w:hAnsi="Tw Cen MT" w:cs="Vrinda"/>
        <w:sz w:val="20"/>
        <w:szCs w:val="20"/>
      </w:rPr>
      <w:t>Fisc</w:t>
    </w:r>
    <w:proofErr w:type="spellEnd"/>
    <w:r>
      <w:rPr>
        <w:rFonts w:ascii="Tw Cen MT" w:hAnsi="Tw Cen MT" w:cs="Vrinda"/>
        <w:sz w:val="20"/>
        <w:szCs w:val="20"/>
      </w:rPr>
      <w:t>. 94058790489</w:t>
    </w:r>
  </w:p>
  <w:p w:rsidR="00C729C7" w:rsidRDefault="00C729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08" w:rsidRDefault="0000759E">
      <w:r>
        <w:separator/>
      </w:r>
    </w:p>
  </w:footnote>
  <w:footnote w:type="continuationSeparator" w:id="0">
    <w:p w:rsidR="00955C08" w:rsidRDefault="0000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A50" w:rsidRDefault="00723A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7" w:rsidRDefault="00C729C7">
    <w:pPr>
      <w:pStyle w:val="Intestazione"/>
      <w:ind w:left="-180" w:firstLine="1596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C7" w:rsidRDefault="0000759E">
    <w:pPr>
      <w:pStyle w:val="Intestazione"/>
    </w:pPr>
    <w:r>
      <w:rPr>
        <w:noProof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780415" cy="1005840"/>
          <wp:effectExtent l="0" t="0" r="0" b="0"/>
          <wp:wrapNone/>
          <wp:docPr id="1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1989"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29C7" w:rsidRDefault="00C729C7">
    <w:pPr>
      <w:pStyle w:val="Intestazione"/>
    </w:pPr>
  </w:p>
  <w:p w:rsidR="00C729C7" w:rsidRDefault="0000759E">
    <w:pPr>
      <w:pStyle w:val="Intestazione"/>
    </w:pPr>
    <w:r>
      <w:rPr>
        <w:noProof/>
      </w:rPr>
      <w:drawing>
        <wp:anchor distT="0" distB="0" distL="114300" distR="114300" simplePos="0" relativeHeight="6" behindDoc="0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108585</wp:posOffset>
          </wp:positionV>
          <wp:extent cx="1429385" cy="467995"/>
          <wp:effectExtent l="0" t="0" r="0" b="0"/>
          <wp:wrapTight wrapText="bothSides">
            <wp:wrapPolygon edited="0">
              <wp:start x="-342" y="0"/>
              <wp:lineTo x="-342" y="20727"/>
              <wp:lineTo x="21281" y="20727"/>
              <wp:lineTo x="21281" y="0"/>
              <wp:lineTo x="-342" y="0"/>
            </wp:wrapPolygon>
          </wp:wrapTight>
          <wp:docPr id="2" name="Immagine 7" descr="C:\Users\eguernieri\Desktop\CONGRESSO\materiali grafici congresso nazionale spi\loghi_carta_intestata\Qui_si_fa_il_futuro3_mign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7" descr="C:\Users\eguernieri\Desktop\CONGRESSO\materiali grafici congresso nazionale spi\loghi_carta_intestata\Qui_si_fa_il_futuro3_mign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29C7" w:rsidRPr="00723A50" w:rsidRDefault="0000759E">
    <w:pPr>
      <w:pStyle w:val="Intestazione"/>
      <w:rPr>
        <w:rFonts w:ascii="Tunga" w:hAnsi="Tunga" w:cs="Tunga"/>
        <w:sz w:val="36"/>
        <w:szCs w:val="36"/>
      </w:rPr>
    </w:pPr>
    <w:r>
      <w:rPr>
        <w:rFonts w:ascii="Tunga" w:hAnsi="Tunga" w:cs="Tunga"/>
        <w:sz w:val="36"/>
        <w:szCs w:val="36"/>
      </w:rPr>
      <w:t xml:space="preserve">       </w:t>
    </w:r>
    <w:r w:rsidRPr="00723A50">
      <w:rPr>
        <w:rFonts w:ascii="Tunga" w:hAnsi="Tunga" w:cs="Tunga"/>
        <w:sz w:val="36"/>
        <w:szCs w:val="36"/>
      </w:rPr>
      <w:t xml:space="preserve">    </w:t>
    </w:r>
  </w:p>
  <w:p w:rsidR="00C729C7" w:rsidRDefault="00723A50">
    <w:pPr>
      <w:pStyle w:val="Intestazione"/>
      <w:rPr>
        <w:rFonts w:ascii="Tw Cen MT" w:hAnsi="Tw Cen MT" w:cs="Tunga"/>
        <w:sz w:val="34"/>
        <w:szCs w:val="34"/>
      </w:rPr>
    </w:pPr>
    <w:r>
      <w:rPr>
        <w:rFonts w:ascii="Tunga" w:hAnsi="Tunga" w:cs="Tunga"/>
        <w:sz w:val="34"/>
        <w:szCs w:val="34"/>
      </w:rPr>
      <w:t xml:space="preserve">      </w:t>
    </w:r>
    <w:r w:rsidR="0000759E">
      <w:rPr>
        <w:rFonts w:ascii="Tunga" w:hAnsi="Tunga" w:cs="Tunga"/>
        <w:sz w:val="34"/>
        <w:szCs w:val="34"/>
      </w:rPr>
      <w:t xml:space="preserve"> </w:t>
    </w:r>
    <w:r w:rsidR="0000759E">
      <w:rPr>
        <w:rFonts w:ascii="Tw Cen MT" w:hAnsi="Tw Cen MT" w:cs="Tunga"/>
        <w:sz w:val="34"/>
        <w:szCs w:val="34"/>
      </w:rPr>
      <w:t>TOSCANA</w:t>
    </w:r>
    <w:bookmarkStart w:id="0" w:name="_GoBack"/>
    <w:bookmarkEnd w:id="0"/>
  </w:p>
  <w:p w:rsidR="00C729C7" w:rsidRDefault="0000759E">
    <w:pPr>
      <w:pStyle w:val="Intestazione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6520815" cy="19050"/>
              <wp:effectExtent l="9525" t="10795" r="9525" b="13970"/>
              <wp:wrapNone/>
              <wp:docPr id="3" name="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4040"/>
                      </a:xfrm>
                      <a:prstGeom prst="line">
                        <a:avLst/>
                      </a:prstGeom>
                      <a:ln w="6480">
                        <a:solidFill>
                          <a:srgbClr val="FF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1pt" to="513.35pt,12.15pt" ID="Line 9" stroked="t" style="position:absolute">
              <v:stroke color="red" weight="648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94E37"/>
    <w:multiLevelType w:val="hybridMultilevel"/>
    <w:tmpl w:val="A5B80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7"/>
    <w:rsid w:val="0000759E"/>
    <w:rsid w:val="000E4599"/>
    <w:rsid w:val="003868EF"/>
    <w:rsid w:val="00445DF7"/>
    <w:rsid w:val="005014AA"/>
    <w:rsid w:val="0054416D"/>
    <w:rsid w:val="00723A50"/>
    <w:rsid w:val="008E3DAC"/>
    <w:rsid w:val="008E79DC"/>
    <w:rsid w:val="009439EA"/>
    <w:rsid w:val="00955C08"/>
    <w:rsid w:val="009F0298"/>
    <w:rsid w:val="00C729C7"/>
    <w:rsid w:val="00EC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1A36E-8CE9-4E01-9949-0B3AA4DD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E30BA"/>
    <w:rPr>
      <w:color w:val="0000FF"/>
      <w:u w:val="single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51015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1015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54416D"/>
    <w:pPr>
      <w:suppressAutoHyphens w:val="0"/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416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075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.regionale@tosc.cgil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pi.regionale@tosc.cgil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dc:description/>
  <cp:lastModifiedBy>Elisabetta Guernieri</cp:lastModifiedBy>
  <cp:revision>10</cp:revision>
  <cp:lastPrinted>2021-11-15T11:44:00Z</cp:lastPrinted>
  <dcterms:created xsi:type="dcterms:W3CDTF">2021-11-08T08:57:00Z</dcterms:created>
  <dcterms:modified xsi:type="dcterms:W3CDTF">2021-11-15T13:19:00Z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