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713E" w14:textId="77777777" w:rsidR="008216CF" w:rsidRDefault="008216CF" w:rsidP="008216CF">
      <w:pPr>
        <w:pStyle w:val="western"/>
        <w:spacing w:before="0" w:beforeAutospacing="0" w:after="0" w:line="22" w:lineRule="atLeast"/>
        <w:jc w:val="center"/>
        <w:rPr>
          <w:b/>
          <w:bCs/>
        </w:rPr>
      </w:pPr>
    </w:p>
    <w:p w14:paraId="2EE33839" w14:textId="6B313685" w:rsidR="008216CF" w:rsidRDefault="008216CF" w:rsidP="008216CF">
      <w:pPr>
        <w:pStyle w:val="western"/>
        <w:spacing w:before="0" w:beforeAutospacing="0" w:after="0" w:line="22" w:lineRule="atLeast"/>
        <w:jc w:val="center"/>
      </w:pPr>
      <w:r>
        <w:rPr>
          <w:b/>
          <w:bCs/>
        </w:rPr>
        <w:t>Comunicato stampa</w:t>
      </w:r>
    </w:p>
    <w:p w14:paraId="5DF0A5D7" w14:textId="77777777" w:rsidR="008216CF" w:rsidRDefault="008216CF" w:rsidP="008216CF">
      <w:pPr>
        <w:pStyle w:val="western"/>
        <w:spacing w:before="0" w:beforeAutospacing="0" w:after="120" w:line="22" w:lineRule="atLeast"/>
        <w:jc w:val="center"/>
        <w:rPr>
          <w:b/>
          <w:bCs/>
        </w:rPr>
      </w:pPr>
      <w:r>
        <w:rPr>
          <w:b/>
          <w:bCs/>
        </w:rPr>
        <w:t>18 ottobre 2022</w:t>
      </w:r>
    </w:p>
    <w:p w14:paraId="74171FB7" w14:textId="77777777" w:rsidR="008216CF" w:rsidRDefault="008216CF" w:rsidP="008216CF">
      <w:pPr>
        <w:pStyle w:val="western"/>
        <w:spacing w:before="0" w:beforeAutospacing="0" w:after="120" w:line="22" w:lineRule="atLeast"/>
        <w:jc w:val="center"/>
      </w:pPr>
    </w:p>
    <w:p w14:paraId="4F3F5D0C" w14:textId="77777777" w:rsidR="008216CF" w:rsidRDefault="008216CF" w:rsidP="008216CF">
      <w:pPr>
        <w:pStyle w:val="western"/>
        <w:spacing w:before="0" w:beforeAutospacing="0" w:after="0" w:line="22" w:lineRule="atLeast"/>
        <w:jc w:val="center"/>
        <w:rPr>
          <w:b/>
          <w:bCs/>
        </w:rPr>
      </w:pPr>
      <w:r>
        <w:rPr>
          <w:b/>
          <w:bCs/>
        </w:rPr>
        <w:t>Energia: le associazioni dei consumatori e le principali forze sociali del Paese</w:t>
      </w:r>
    </w:p>
    <w:p w14:paraId="4CE167EE" w14:textId="77777777" w:rsidR="008216CF" w:rsidRDefault="008216CF" w:rsidP="008216CF">
      <w:pPr>
        <w:pStyle w:val="western"/>
        <w:spacing w:before="0" w:beforeAutospacing="0" w:after="240" w:line="22" w:lineRule="atLeast"/>
        <w:jc w:val="center"/>
        <w:rPr>
          <w:b/>
          <w:bCs/>
        </w:rPr>
      </w:pPr>
      <w:r>
        <w:rPr>
          <w:b/>
          <w:bCs/>
        </w:rPr>
        <w:t>chiedono di inserire nell’agenda di Governo 5 punti fondamentali e urgenti.</w:t>
      </w:r>
    </w:p>
    <w:p w14:paraId="4F4C6386" w14:textId="77777777" w:rsidR="008216CF" w:rsidRDefault="008216CF" w:rsidP="008216CF">
      <w:pPr>
        <w:pStyle w:val="western"/>
        <w:spacing w:before="0" w:beforeAutospacing="0" w:after="120" w:line="22" w:lineRule="atLeast"/>
        <w:jc w:val="both"/>
      </w:pPr>
    </w:p>
    <w:p w14:paraId="4092DBEE" w14:textId="77777777" w:rsidR="008216CF" w:rsidRDefault="008216CF" w:rsidP="008216CF">
      <w:pPr>
        <w:pStyle w:val="NormaleWeb"/>
        <w:spacing w:before="0" w:beforeAutospacing="0" w:after="240" w:afterAutospacing="0" w:line="22" w:lineRule="atLeast"/>
        <w:jc w:val="both"/>
        <w:rPr>
          <w:color w:val="000000"/>
        </w:rPr>
      </w:pPr>
      <w:r>
        <w:rPr>
          <w:color w:val="000000"/>
        </w:rPr>
        <w:t xml:space="preserve">Si è tenuta </w:t>
      </w:r>
      <w:r>
        <w:rPr>
          <w:b/>
          <w:bCs/>
          <w:color w:val="000000"/>
        </w:rPr>
        <w:t>oggi l’Assemblea nazionale delle Associazioni dei Consumatori</w:t>
      </w:r>
      <w:r>
        <w:rPr>
          <w:color w:val="000000"/>
        </w:rPr>
        <w:t>, a cui hanno partecipato oltre 4000 attivisti, per sollecitare il Governo all’adozione misure urgenti per fronteggiare i rincari sul fronte dell’energia e dei beni di largo consumo.</w:t>
      </w:r>
    </w:p>
    <w:p w14:paraId="5D0C018A" w14:textId="77777777" w:rsidR="008216CF" w:rsidRDefault="008216CF" w:rsidP="008216CF">
      <w:pPr>
        <w:pStyle w:val="NormaleWeb"/>
        <w:spacing w:before="0" w:beforeAutospacing="0" w:after="240" w:afterAutospacing="0" w:line="22" w:lineRule="atLeast"/>
        <w:jc w:val="both"/>
      </w:pPr>
      <w:r>
        <w:rPr>
          <w:color w:val="000000"/>
        </w:rPr>
        <w:t xml:space="preserve">Un incontro senza precedenti, che ha visto, </w:t>
      </w:r>
      <w:r>
        <w:rPr>
          <w:b/>
          <w:bCs/>
          <w:color w:val="000000"/>
        </w:rPr>
        <w:t>al fianco</w:t>
      </w:r>
      <w:r>
        <w:rPr>
          <w:color w:val="000000"/>
        </w:rPr>
        <w:t xml:space="preserve"> dei Consumatori, </w:t>
      </w:r>
      <w:r>
        <w:rPr>
          <w:b/>
          <w:bCs/>
          <w:color w:val="000000"/>
        </w:rPr>
        <w:t>la partecipazione delle principali forze sociali del Paese</w:t>
      </w:r>
      <w:r>
        <w:rPr>
          <w:color w:val="000000"/>
        </w:rPr>
        <w:t xml:space="preserve">: le più importanti sigle sindacali CGIL, CISL e UIL, ma anche rilevanti sigle del mondo produttivo, CNA, Confcommercio, Confesercenti, Confcooperative, i Panificatori artigiani, e poi i sindacati degli inquilini SUNIA e SICIET, le organizzazioni del volontariato Auser e Anteas, Federcasalinghe, USB, le Associazioni ambientaliste e pro-rinnovabili come WWF Legambiente, Coordinamento Free e rappresentanze dei produttori di fotovoltaico e dei rivenditori di energia come Italia Solare e Arte. </w:t>
      </w:r>
    </w:p>
    <w:p w14:paraId="30A4014C" w14:textId="77777777" w:rsidR="008216CF" w:rsidRDefault="008216CF" w:rsidP="008216CF">
      <w:pPr>
        <w:pStyle w:val="NormaleWeb"/>
        <w:spacing w:before="0" w:beforeAutospacing="0" w:after="120" w:afterAutospacing="0" w:line="22" w:lineRule="atLeast"/>
        <w:jc w:val="both"/>
      </w:pPr>
      <w:r>
        <w:rPr>
          <w:color w:val="000000"/>
        </w:rPr>
        <w:t>La vastissima partecipazione ha spinto le associazioni promotrici a predisporre una piattaforma condivisa a partire da cinque rivendicazioni principali in materia di energia:</w:t>
      </w:r>
      <w:r>
        <w:t xml:space="preserve"> </w:t>
      </w:r>
    </w:p>
    <w:p w14:paraId="1ED2853F" w14:textId="77777777" w:rsidR="008216CF" w:rsidRDefault="008216CF" w:rsidP="008216CF">
      <w:pPr>
        <w:pStyle w:val="western"/>
        <w:numPr>
          <w:ilvl w:val="0"/>
          <w:numId w:val="1"/>
        </w:numPr>
        <w:spacing w:before="0" w:beforeAutospacing="0" w:after="120" w:line="22" w:lineRule="atLeast"/>
        <w:ind w:left="527" w:hanging="357"/>
        <w:jc w:val="both"/>
        <w:rPr>
          <w:rFonts w:eastAsia="Times New Roman"/>
        </w:rPr>
      </w:pPr>
      <w:r>
        <w:rPr>
          <w:rFonts w:eastAsia="Times New Roman"/>
          <w:color w:val="000000"/>
        </w:rPr>
        <w:t xml:space="preserve">la </w:t>
      </w:r>
      <w:r>
        <w:rPr>
          <w:rFonts w:eastAsia="Times New Roman"/>
          <w:b/>
          <w:bCs/>
          <w:color w:val="000000"/>
        </w:rPr>
        <w:t>sospensione dei distacchi</w:t>
      </w:r>
      <w:r>
        <w:rPr>
          <w:rFonts w:eastAsia="Times New Roman"/>
          <w:color w:val="000000"/>
        </w:rPr>
        <w:t xml:space="preserve"> per morosità, oggi in larghissima parte legata a situazioni di profondo disagio e povertà, con la</w:t>
      </w:r>
      <w:r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color w:val="000000"/>
        </w:rPr>
        <w:t xml:space="preserve">lunga </w:t>
      </w:r>
      <w:r>
        <w:rPr>
          <w:rFonts w:eastAsia="Times New Roman"/>
          <w:b/>
          <w:bCs/>
          <w:color w:val="000000"/>
        </w:rPr>
        <w:t>rateizzazione delle bollette</w:t>
      </w:r>
      <w:r>
        <w:rPr>
          <w:rFonts w:eastAsia="Times New Roman"/>
          <w:color w:val="000000"/>
        </w:rPr>
        <w:t xml:space="preserve"> garantita dallo Stato e, insieme, un divieto più stringente alle modifiche contrattuali decise unilateralmente dalle aziende fornitrici di energia;</w:t>
      </w:r>
    </w:p>
    <w:p w14:paraId="0D4E840D" w14:textId="77777777" w:rsidR="008216CF" w:rsidRDefault="008216CF" w:rsidP="008216CF">
      <w:pPr>
        <w:pStyle w:val="western"/>
        <w:numPr>
          <w:ilvl w:val="0"/>
          <w:numId w:val="1"/>
        </w:numPr>
        <w:spacing w:before="0" w:beforeAutospacing="0" w:after="120" w:line="22" w:lineRule="atLeast"/>
        <w:ind w:left="527" w:hanging="357"/>
        <w:jc w:val="both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 xml:space="preserve">l’aumento dei </w:t>
      </w:r>
      <w:r>
        <w:rPr>
          <w:rFonts w:eastAsia="Times New Roman"/>
          <w:b/>
          <w:bCs/>
          <w:i/>
          <w:iCs/>
          <w:color w:val="000000"/>
        </w:rPr>
        <w:t>bonus</w:t>
      </w:r>
      <w:r>
        <w:rPr>
          <w:rFonts w:eastAsia="Times New Roman"/>
          <w:color w:val="000000"/>
        </w:rPr>
        <w:t xml:space="preserve"> per energia, gas e acqua </w:t>
      </w:r>
      <w:r>
        <w:rPr>
          <w:rFonts w:eastAsia="Times New Roman"/>
          <w:b/>
          <w:bCs/>
          <w:color w:val="000000"/>
        </w:rPr>
        <w:t>e</w:t>
      </w:r>
      <w:r>
        <w:rPr>
          <w:rFonts w:eastAsia="Times New Roman"/>
          <w:color w:val="000000"/>
        </w:rPr>
        <w:t xml:space="preserve"> l’allargamento </w:t>
      </w:r>
      <w:r>
        <w:rPr>
          <w:rFonts w:eastAsia="Times New Roman"/>
          <w:b/>
          <w:bCs/>
          <w:color w:val="000000"/>
        </w:rPr>
        <w:t>della platea dei beneficiari</w:t>
      </w:r>
      <w:r>
        <w:rPr>
          <w:rFonts w:eastAsia="Times New Roman"/>
          <w:color w:val="000000"/>
        </w:rPr>
        <w:t xml:space="preserve">, attraverso l’innalzamento delle soglie Isee, anche differenziate per intensità di aiuto, </w:t>
      </w:r>
      <w:r>
        <w:rPr>
          <w:rFonts w:eastAsia="Times New Roman"/>
          <w:b/>
          <w:bCs/>
          <w:color w:val="000000"/>
        </w:rPr>
        <w:t>insieme con</w:t>
      </w:r>
      <w:r>
        <w:rPr>
          <w:rFonts w:eastAsia="Times New Roman"/>
          <w:color w:val="000000"/>
        </w:rPr>
        <w:t xml:space="preserve"> la costituzione di un </w:t>
      </w:r>
      <w:r>
        <w:rPr>
          <w:rFonts w:eastAsia="Times New Roman"/>
          <w:b/>
          <w:bCs/>
          <w:color w:val="000000"/>
        </w:rPr>
        <w:t>Fondo di contrasto alla dilagante povertà energetica</w:t>
      </w:r>
      <w:r>
        <w:rPr>
          <w:rFonts w:eastAsia="Times New Roman"/>
          <w:color w:val="000000"/>
        </w:rPr>
        <w:t>;</w:t>
      </w:r>
    </w:p>
    <w:p w14:paraId="182CA91D" w14:textId="77777777" w:rsidR="008216CF" w:rsidRDefault="008216CF" w:rsidP="008216CF">
      <w:pPr>
        <w:pStyle w:val="western"/>
        <w:numPr>
          <w:ilvl w:val="0"/>
          <w:numId w:val="1"/>
        </w:numPr>
        <w:spacing w:before="0" w:beforeAutospacing="0" w:after="120" w:line="22" w:lineRule="atLeast"/>
        <w:ind w:left="527" w:hanging="357"/>
        <w:jc w:val="both"/>
        <w:rPr>
          <w:rFonts w:eastAsia="Times New Roman"/>
        </w:rPr>
      </w:pPr>
      <w:r>
        <w:rPr>
          <w:rFonts w:eastAsia="Times New Roman"/>
          <w:color w:val="000000"/>
        </w:rPr>
        <w:t xml:space="preserve">la </w:t>
      </w:r>
      <w:r>
        <w:rPr>
          <w:rFonts w:eastAsia="Times New Roman"/>
          <w:b/>
          <w:bCs/>
          <w:color w:val="000000"/>
        </w:rPr>
        <w:t>riforma della bolletta</w:t>
      </w:r>
      <w:r>
        <w:rPr>
          <w:rFonts w:eastAsia="Times New Roman"/>
          <w:color w:val="000000"/>
        </w:rPr>
        <w:t xml:space="preserve">, riducendone gli oneri fiscali e parafiscali, </w:t>
      </w:r>
      <w:r>
        <w:rPr>
          <w:rFonts w:eastAsia="Times New Roman"/>
          <w:b/>
          <w:bCs/>
          <w:color w:val="000000"/>
        </w:rPr>
        <w:t>e del sistema di formazione dei prezzi dell’energia</w:t>
      </w:r>
      <w:r>
        <w:rPr>
          <w:rFonts w:eastAsia="Times New Roman"/>
          <w:color w:val="000000"/>
        </w:rPr>
        <w:t xml:space="preserve">, considerando la media ponderata dei costi delle diverse fonti e disaccoppiando elettricità e gas, per contrastare più efficacemente le speculazioni; </w:t>
      </w:r>
    </w:p>
    <w:p w14:paraId="04606E78" w14:textId="77777777" w:rsidR="008216CF" w:rsidRDefault="008216CF" w:rsidP="008216CF">
      <w:pPr>
        <w:pStyle w:val="western"/>
        <w:numPr>
          <w:ilvl w:val="0"/>
          <w:numId w:val="1"/>
        </w:numPr>
        <w:spacing w:before="0" w:beforeAutospacing="0" w:after="120" w:line="22" w:lineRule="atLeast"/>
        <w:ind w:left="527" w:hanging="357"/>
        <w:jc w:val="both"/>
        <w:rPr>
          <w:rFonts w:eastAsia="Times New Roman"/>
        </w:rPr>
      </w:pPr>
      <w:r>
        <w:rPr>
          <w:rFonts w:eastAsia="Times New Roman"/>
          <w:color w:val="000000"/>
        </w:rPr>
        <w:t xml:space="preserve">una politica industriale ed energetica di </w:t>
      </w:r>
      <w:r>
        <w:rPr>
          <w:rFonts w:eastAsia="Times New Roman"/>
          <w:b/>
          <w:bCs/>
          <w:color w:val="000000"/>
        </w:rPr>
        <w:t>rilancio degli investimenti sulle fonti rinnovabili</w:t>
      </w:r>
      <w:r>
        <w:rPr>
          <w:rFonts w:eastAsia="Times New Roman"/>
          <w:color w:val="000000"/>
        </w:rPr>
        <w:t xml:space="preserve"> e sulle tecnologie di </w:t>
      </w:r>
      <w:r>
        <w:rPr>
          <w:rFonts w:eastAsia="Times New Roman"/>
          <w:b/>
          <w:bCs/>
          <w:color w:val="000000"/>
        </w:rPr>
        <w:t>accumulo</w:t>
      </w:r>
      <w:r>
        <w:rPr>
          <w:rFonts w:eastAsia="Times New Roman"/>
          <w:color w:val="000000"/>
        </w:rPr>
        <w:t xml:space="preserve">, adottando misure di sostegno allo sviluppo delle </w:t>
      </w:r>
      <w:r>
        <w:rPr>
          <w:rFonts w:eastAsia="Times New Roman"/>
          <w:b/>
          <w:bCs/>
          <w:color w:val="000000"/>
        </w:rPr>
        <w:t>comunità energetiche</w:t>
      </w:r>
      <w:r>
        <w:rPr>
          <w:rFonts w:eastAsia="Times New Roman"/>
          <w:color w:val="000000"/>
        </w:rPr>
        <w:t>;</w:t>
      </w:r>
    </w:p>
    <w:p w14:paraId="027A962A" w14:textId="77777777" w:rsidR="008216CF" w:rsidRDefault="008216CF" w:rsidP="008216CF">
      <w:pPr>
        <w:pStyle w:val="western"/>
        <w:numPr>
          <w:ilvl w:val="0"/>
          <w:numId w:val="1"/>
        </w:numPr>
        <w:spacing w:before="0" w:beforeAutospacing="0" w:after="240" w:line="22" w:lineRule="atLeast"/>
        <w:ind w:left="527" w:hanging="357"/>
        <w:jc w:val="both"/>
        <w:rPr>
          <w:rFonts w:eastAsia="Times New Roman"/>
        </w:rPr>
      </w:pPr>
      <w:r>
        <w:rPr>
          <w:rFonts w:eastAsia="Times New Roman"/>
          <w:color w:val="000000"/>
        </w:rPr>
        <w:t xml:space="preserve">un </w:t>
      </w:r>
      <w:r>
        <w:rPr>
          <w:rFonts w:eastAsia="Times New Roman"/>
          <w:b/>
          <w:bCs/>
          <w:color w:val="000000"/>
        </w:rPr>
        <w:t>piano nazionale straordinario di sostegno</w:t>
      </w:r>
      <w:r>
        <w:rPr>
          <w:rFonts w:eastAsia="Times New Roman"/>
          <w:color w:val="000000"/>
        </w:rPr>
        <w:t xml:space="preserve"> alle famiglie e alle imprese, insieme con la precisazione e il rafforzamento degli strumenti di </w:t>
      </w:r>
      <w:proofErr w:type="spellStart"/>
      <w:r>
        <w:rPr>
          <w:rFonts w:eastAsia="Times New Roman"/>
          <w:b/>
          <w:bCs/>
          <w:color w:val="000000"/>
        </w:rPr>
        <w:t>supertassazione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degli extraprofitti</w:t>
      </w:r>
      <w:r>
        <w:rPr>
          <w:rFonts w:eastAsia="Times New Roman"/>
          <w:color w:val="000000"/>
        </w:rPr>
        <w:t xml:space="preserve"> superiori ad una certa soglia realizzati dalle grandi imprese energetiche e da altre aziende in settori quali quello farmaceutico, finanziario, creditizio e dell’e-commerce. </w:t>
      </w:r>
    </w:p>
    <w:p w14:paraId="4FCBC058" w14:textId="5544274D" w:rsidR="008216CF" w:rsidRDefault="008216CF" w:rsidP="008216CF">
      <w:pPr>
        <w:spacing w:after="120" w:line="22" w:lineRule="atLeast"/>
        <w:jc w:val="both"/>
      </w:pPr>
      <w:r>
        <w:t xml:space="preserve">“Ci aspettiamo ora </w:t>
      </w:r>
      <w:r>
        <w:rPr>
          <w:b/>
          <w:bCs/>
        </w:rPr>
        <w:t>che il Governo sia pronto ad ascoltare le proposte</w:t>
      </w:r>
      <w:r>
        <w:t xml:space="preserve"> e rivendicazioni delle associazioni dei consumatori, che chiedono di aprire stabilmente un tavolo di dialogo che le coinvolga, insieme a quelli delle altre parti sociali ed economiche. </w:t>
      </w:r>
      <w:r>
        <w:rPr>
          <w:b/>
          <w:bCs/>
        </w:rPr>
        <w:t>I consumatori</w:t>
      </w:r>
      <w:r>
        <w:t xml:space="preserve">, rappresentati dalle principali associazioni riconosciute, </w:t>
      </w:r>
      <w:r>
        <w:rPr>
          <w:b/>
          <w:bCs/>
        </w:rPr>
        <w:t>restano pronti a mobilitarsi</w:t>
      </w:r>
      <w:r>
        <w:t>, in tutte le forme e modalità possibili, finché non saranno assunte efficaci misure per fronteggiare l’emergenza sociale e sia avviato un percorso riformatore di carattere strutturale in materia di politiche energetiche e di sostenibilità del mercato dei consumi”.</w:t>
      </w:r>
    </w:p>
    <w:sectPr w:rsidR="008216CF">
      <w:headerReference w:type="default" r:id="rId7"/>
      <w:footerReference w:type="default" r:id="rId8"/>
      <w:pgSz w:w="11900" w:h="16840"/>
      <w:pgMar w:top="1417" w:right="1134" w:bottom="1134" w:left="1134" w:header="142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A0598" w14:textId="77777777" w:rsidR="00E61F8E" w:rsidRDefault="00E61F8E">
      <w:pPr>
        <w:spacing w:after="0" w:line="240" w:lineRule="auto"/>
      </w:pPr>
      <w:r>
        <w:separator/>
      </w:r>
    </w:p>
  </w:endnote>
  <w:endnote w:type="continuationSeparator" w:id="0">
    <w:p w14:paraId="412AFECD" w14:textId="77777777" w:rsidR="00E61F8E" w:rsidRDefault="00E6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96AB" w14:textId="77777777" w:rsidR="001E0F02" w:rsidRDefault="001E0F0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14E6" w14:textId="77777777" w:rsidR="00E61F8E" w:rsidRDefault="00E61F8E">
      <w:pPr>
        <w:spacing w:after="0" w:line="240" w:lineRule="auto"/>
      </w:pPr>
      <w:r>
        <w:separator/>
      </w:r>
    </w:p>
  </w:footnote>
  <w:footnote w:type="continuationSeparator" w:id="0">
    <w:p w14:paraId="3BF059B4" w14:textId="77777777" w:rsidR="00E61F8E" w:rsidRDefault="00E6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FC26" w14:textId="77777777" w:rsidR="001E0F02" w:rsidRDefault="00000000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 wp14:anchorId="5BD13E12" wp14:editId="05471D8C">
          <wp:extent cx="6116193" cy="1648076"/>
          <wp:effectExtent l="0" t="0" r="0" b="0"/>
          <wp:docPr id="1073741825" name="officeArt object" descr="Immagin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1" descr="Immagine 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193" cy="16480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E3774"/>
    <w:multiLevelType w:val="hybridMultilevel"/>
    <w:tmpl w:val="21E80C7E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79801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F02"/>
    <w:rsid w:val="000C564D"/>
    <w:rsid w:val="001E0F02"/>
    <w:rsid w:val="00434A8F"/>
    <w:rsid w:val="004B2C1A"/>
    <w:rsid w:val="005E7F5A"/>
    <w:rsid w:val="00762D27"/>
    <w:rsid w:val="008216CF"/>
    <w:rsid w:val="00840046"/>
    <w:rsid w:val="00B07904"/>
    <w:rsid w:val="00E61F8E"/>
    <w:rsid w:val="00E7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39BE"/>
  <w15:docId w15:val="{04FC027E-8ED6-4F43-944B-C5DA4C03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Gill Sans" w:hAnsi="Gill Sans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Pr>
      <w:outline w:val="0"/>
      <w:color w:val="0563C1"/>
      <w:u w:val="single" w:color="0563C1"/>
    </w:rPr>
  </w:style>
  <w:style w:type="paragraph" w:styleId="NormaleWeb">
    <w:name w:val="Normal (Web)"/>
    <w:basedOn w:val="Normale"/>
    <w:uiPriority w:val="99"/>
    <w:semiHidden/>
    <w:unhideWhenUsed/>
    <w:rsid w:val="008216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Theme="minorHAnsi" w:cs="Calibri"/>
      <w:color w:val="auto"/>
      <w:bdr w:val="none" w:sz="0" w:space="0" w:color="auto"/>
    </w:rPr>
  </w:style>
  <w:style w:type="paragraph" w:customStyle="1" w:styleId="western">
    <w:name w:val="western"/>
    <w:basedOn w:val="Normale"/>
    <w:uiPriority w:val="99"/>
    <w:semiHidden/>
    <w:rsid w:val="008216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42" w:line="276" w:lineRule="auto"/>
    </w:pPr>
    <w:rPr>
      <w:rFonts w:eastAsiaTheme="minorHAnsi" w:cs="Calibri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Gill Sans"/>
        <a:ea typeface="Gill Sans"/>
        <a:cs typeface="Gill Sans"/>
      </a:majorFont>
      <a:minorFont>
        <a:latin typeface="Gill Sans"/>
        <a:ea typeface="Gill Sans"/>
        <a:cs typeface="Gill Sans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PR. M. CARRUS</dc:creator>
  <cp:lastModifiedBy>Sabrina Soffientini</cp:lastModifiedBy>
  <cp:revision>2</cp:revision>
  <cp:lastPrinted>2022-10-11T17:53:00Z</cp:lastPrinted>
  <dcterms:created xsi:type="dcterms:W3CDTF">2022-10-18T14:36:00Z</dcterms:created>
  <dcterms:modified xsi:type="dcterms:W3CDTF">2022-10-18T14:36:00Z</dcterms:modified>
</cp:coreProperties>
</file>